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6C" w:rsidRDefault="00913A6C" w:rsidP="00913A6C">
      <w:pPr>
        <w:jc w:val="center"/>
        <w:rPr>
          <w:b/>
          <w:sz w:val="24"/>
        </w:rPr>
      </w:pPr>
      <w:bookmarkStart w:id="0" w:name="_GoBack"/>
      <w:bookmarkEnd w:id="0"/>
      <w:r w:rsidRPr="00D47D55">
        <w:rPr>
          <w:b/>
          <w:sz w:val="24"/>
        </w:rPr>
        <w:t>Rapport sur le sondage « Activités prioritaires de l’association » envoyé aux membres de l’AQRAFE</w:t>
      </w:r>
    </w:p>
    <w:p w:rsidR="00D47D55" w:rsidRPr="00D47D55" w:rsidRDefault="00D47D55" w:rsidP="00913A6C">
      <w:pPr>
        <w:jc w:val="center"/>
        <w:rPr>
          <w:b/>
          <w:sz w:val="24"/>
        </w:rPr>
      </w:pPr>
    </w:p>
    <w:p w:rsidR="00913A6C" w:rsidRPr="00D47D55" w:rsidRDefault="00913A6C" w:rsidP="00D47D55">
      <w:pPr>
        <w:pStyle w:val="Paragraphedeliste"/>
        <w:numPr>
          <w:ilvl w:val="0"/>
          <w:numId w:val="4"/>
        </w:numPr>
        <w:spacing w:after="0" w:line="240" w:lineRule="auto"/>
        <w:ind w:left="426"/>
        <w:rPr>
          <w:i/>
          <w:sz w:val="20"/>
        </w:rPr>
      </w:pPr>
      <w:r w:rsidRPr="00D47D55">
        <w:rPr>
          <w:i/>
          <w:sz w:val="20"/>
        </w:rPr>
        <w:t xml:space="preserve">Sondage effectué à la demande de l’exécutif </w:t>
      </w:r>
      <w:r w:rsidR="00475A1D" w:rsidRPr="00D47D55">
        <w:rPr>
          <w:i/>
          <w:sz w:val="20"/>
        </w:rPr>
        <w:t xml:space="preserve">de l’AQRAFE </w:t>
      </w:r>
      <w:r w:rsidRPr="00D47D55">
        <w:rPr>
          <w:i/>
          <w:sz w:val="20"/>
        </w:rPr>
        <w:t xml:space="preserve">pour définir un plan d’action </w:t>
      </w:r>
    </w:p>
    <w:p w:rsidR="00913A6C" w:rsidRPr="00D47D55" w:rsidRDefault="00913A6C" w:rsidP="00D47D55">
      <w:pPr>
        <w:pStyle w:val="Paragraphedeliste"/>
        <w:numPr>
          <w:ilvl w:val="0"/>
          <w:numId w:val="4"/>
        </w:numPr>
        <w:spacing w:after="0" w:line="240" w:lineRule="auto"/>
        <w:ind w:left="426"/>
        <w:rPr>
          <w:i/>
          <w:sz w:val="20"/>
        </w:rPr>
      </w:pPr>
      <w:r w:rsidRPr="00D47D55">
        <w:rPr>
          <w:i/>
          <w:sz w:val="20"/>
        </w:rPr>
        <w:t xml:space="preserve">Sondage envoyé à l’ensemble des membres le 27 mars 2015, </w:t>
      </w:r>
      <w:r w:rsidR="00475A1D" w:rsidRPr="00D47D55">
        <w:rPr>
          <w:i/>
          <w:sz w:val="20"/>
        </w:rPr>
        <w:t xml:space="preserve">un </w:t>
      </w:r>
      <w:r w:rsidRPr="00D47D55">
        <w:rPr>
          <w:i/>
          <w:sz w:val="20"/>
        </w:rPr>
        <w:t>rappel</w:t>
      </w:r>
      <w:r w:rsidR="00475A1D" w:rsidRPr="00D47D55">
        <w:rPr>
          <w:i/>
          <w:sz w:val="20"/>
        </w:rPr>
        <w:t xml:space="preserve"> a été effectué le 7 avril 2015</w:t>
      </w:r>
    </w:p>
    <w:p w:rsidR="00913A6C" w:rsidRPr="00D47D55" w:rsidRDefault="00913A6C" w:rsidP="00D47D55">
      <w:pPr>
        <w:pStyle w:val="Paragraphedeliste"/>
        <w:numPr>
          <w:ilvl w:val="0"/>
          <w:numId w:val="4"/>
        </w:numPr>
        <w:spacing w:after="0" w:line="240" w:lineRule="auto"/>
        <w:ind w:left="426"/>
        <w:rPr>
          <w:i/>
          <w:sz w:val="20"/>
        </w:rPr>
      </w:pPr>
      <w:r w:rsidRPr="00D47D55">
        <w:rPr>
          <w:i/>
          <w:sz w:val="20"/>
        </w:rPr>
        <w:t>21 répondants (8 membres des cégeps, 12 membres des universités, 1 anonyme)</w:t>
      </w:r>
    </w:p>
    <w:p w:rsidR="00D47D55" w:rsidRDefault="00D47D55" w:rsidP="00D47D55">
      <w:pPr>
        <w:jc w:val="both"/>
      </w:pPr>
    </w:p>
    <w:p w:rsidR="002301DF" w:rsidRPr="00D47D55" w:rsidRDefault="00D47D55" w:rsidP="00D47D55">
      <w:pPr>
        <w:jc w:val="both"/>
        <w:rPr>
          <w:b/>
        </w:rPr>
      </w:pPr>
      <w:r w:rsidRPr="00D47D55">
        <w:rPr>
          <w:b/>
        </w:rPr>
        <w:t xml:space="preserve">Réponses à la question : </w:t>
      </w:r>
      <w:r>
        <w:rPr>
          <w:b/>
        </w:rPr>
        <w:t>« </w:t>
      </w:r>
      <w:r w:rsidR="002301DF" w:rsidRPr="00D47D55">
        <w:rPr>
          <w:rFonts w:cs="Arial"/>
          <w:b/>
          <w:color w:val="000000"/>
        </w:rPr>
        <w:t xml:space="preserve">Sachant que l'AQRAFE est un réseau de partage entre ses membres et que l'amélioration de la situation financière des étudiants est au </w:t>
      </w:r>
      <w:r w:rsidR="00475A1D" w:rsidRPr="00D47D55">
        <w:rPr>
          <w:rFonts w:cs="Arial"/>
          <w:b/>
          <w:color w:val="000000"/>
        </w:rPr>
        <w:t>cœur</w:t>
      </w:r>
      <w:r w:rsidR="002301DF" w:rsidRPr="00D47D55">
        <w:rPr>
          <w:rFonts w:cs="Arial"/>
          <w:b/>
          <w:color w:val="000000"/>
        </w:rPr>
        <w:t xml:space="preserve"> de ses préoccupations, quelle serait selon vous la finalité (l'objectif ultime) du plan d'acti</w:t>
      </w:r>
      <w:r>
        <w:rPr>
          <w:rFonts w:cs="Arial"/>
          <w:b/>
          <w:color w:val="000000"/>
        </w:rPr>
        <w:t xml:space="preserve">on stratégique de l'association </w:t>
      </w:r>
      <w:r w:rsidR="002301DF" w:rsidRPr="00D47D55">
        <w:rPr>
          <w:rFonts w:cs="Arial"/>
          <w:b/>
          <w:color w:val="000000"/>
        </w:rPr>
        <w:t>?</w:t>
      </w:r>
      <w:r>
        <w:rPr>
          <w:rFonts w:cs="Arial"/>
          <w:b/>
          <w:color w:val="000000"/>
        </w:rPr>
        <w:t> »</w:t>
      </w:r>
    </w:p>
    <w:p w:rsidR="002301DF" w:rsidRPr="00D47D55" w:rsidRDefault="002301DF" w:rsidP="00D47D55">
      <w:pPr>
        <w:pStyle w:val="Paragraphedeliste"/>
        <w:numPr>
          <w:ilvl w:val="0"/>
          <w:numId w:val="1"/>
        </w:numPr>
        <w:ind w:left="426"/>
        <w:jc w:val="both"/>
        <w:rPr>
          <w:sz w:val="20"/>
        </w:rPr>
      </w:pPr>
      <w:r w:rsidRPr="00D47D55">
        <w:rPr>
          <w:sz w:val="20"/>
        </w:rPr>
        <w:t xml:space="preserve">La </w:t>
      </w:r>
      <w:proofErr w:type="spellStart"/>
      <w:r w:rsidRPr="00D47D55">
        <w:rPr>
          <w:sz w:val="20"/>
        </w:rPr>
        <w:t>littératie</w:t>
      </w:r>
      <w:proofErr w:type="spellEnd"/>
      <w:r w:rsidRPr="00D47D55">
        <w:rPr>
          <w:sz w:val="20"/>
        </w:rPr>
        <w:t xml:space="preserve"> financière </w:t>
      </w:r>
    </w:p>
    <w:p w:rsidR="002301DF" w:rsidRPr="00D47D55" w:rsidRDefault="002301DF" w:rsidP="00D47D55">
      <w:pPr>
        <w:pStyle w:val="Paragraphedeliste"/>
        <w:numPr>
          <w:ilvl w:val="0"/>
          <w:numId w:val="1"/>
        </w:numPr>
        <w:ind w:left="426"/>
        <w:jc w:val="both"/>
        <w:rPr>
          <w:sz w:val="20"/>
        </w:rPr>
      </w:pPr>
      <w:r w:rsidRPr="00D47D55">
        <w:rPr>
          <w:sz w:val="20"/>
        </w:rPr>
        <w:t>Outre le réseautage et les ateliers d</w:t>
      </w:r>
      <w:r w:rsidR="00525BBC">
        <w:rPr>
          <w:sz w:val="20"/>
        </w:rPr>
        <w:t>’</w:t>
      </w:r>
      <w:r w:rsidRPr="00D47D55">
        <w:rPr>
          <w:sz w:val="20"/>
        </w:rPr>
        <w:t>information, je crois que l</w:t>
      </w:r>
      <w:r w:rsidR="00525BBC">
        <w:rPr>
          <w:sz w:val="20"/>
        </w:rPr>
        <w:t>’</w:t>
      </w:r>
      <w:r w:rsidRPr="00D47D55">
        <w:rPr>
          <w:sz w:val="20"/>
        </w:rPr>
        <w:t>AQRAFE est essentiel afin de bien comprendre la réalité vécue dans les différents établissements et ainsi faire un lien avec le ministère</w:t>
      </w:r>
      <w:r w:rsidR="00525BBC">
        <w:rPr>
          <w:sz w:val="20"/>
        </w:rPr>
        <w:t>…</w:t>
      </w:r>
    </w:p>
    <w:p w:rsidR="002301DF" w:rsidRPr="00D47D55" w:rsidRDefault="002301DF" w:rsidP="00D47D55">
      <w:pPr>
        <w:pStyle w:val="Paragraphedeliste"/>
        <w:numPr>
          <w:ilvl w:val="0"/>
          <w:numId w:val="1"/>
        </w:numPr>
        <w:ind w:left="426"/>
        <w:jc w:val="both"/>
        <w:rPr>
          <w:sz w:val="20"/>
        </w:rPr>
      </w:pPr>
      <w:r w:rsidRPr="00D47D55">
        <w:rPr>
          <w:sz w:val="20"/>
        </w:rPr>
        <w:t>Le plan stratégique devrait être un outil de mobilisation de nos membres afin de travailler sur des buts communs. Il devrait nous permettre de dégager nos forces et faibles ainsi que les menaces et les opportunités de l</w:t>
      </w:r>
      <w:r w:rsidR="00525BBC">
        <w:rPr>
          <w:sz w:val="20"/>
        </w:rPr>
        <w:t>’</w:t>
      </w:r>
      <w:r w:rsidRPr="00D47D55">
        <w:rPr>
          <w:sz w:val="20"/>
        </w:rPr>
        <w:t>association. À la lumière de ces constats des choix stratégique pourront être faits par notre association.</w:t>
      </w:r>
    </w:p>
    <w:p w:rsidR="002301DF" w:rsidRPr="00D47D55" w:rsidRDefault="002301DF" w:rsidP="00D47D55">
      <w:pPr>
        <w:pStyle w:val="Paragraphedeliste"/>
        <w:numPr>
          <w:ilvl w:val="0"/>
          <w:numId w:val="1"/>
        </w:numPr>
        <w:ind w:left="426"/>
        <w:jc w:val="both"/>
        <w:rPr>
          <w:sz w:val="20"/>
        </w:rPr>
      </w:pPr>
      <w:r w:rsidRPr="00D47D55">
        <w:rPr>
          <w:sz w:val="20"/>
        </w:rPr>
        <w:t>S</w:t>
      </w:r>
      <w:r w:rsidR="00525BBC">
        <w:rPr>
          <w:sz w:val="20"/>
        </w:rPr>
        <w:t>’</w:t>
      </w:r>
      <w:r w:rsidRPr="00D47D55">
        <w:rPr>
          <w:sz w:val="20"/>
        </w:rPr>
        <w:t>assurer que les étudiants ont accès aux études malgré leur situation financière précaire</w:t>
      </w:r>
    </w:p>
    <w:p w:rsidR="002301DF" w:rsidRPr="00D47D55" w:rsidRDefault="002301DF" w:rsidP="00D47D55">
      <w:pPr>
        <w:pStyle w:val="Paragraphedeliste"/>
        <w:numPr>
          <w:ilvl w:val="0"/>
          <w:numId w:val="1"/>
        </w:numPr>
        <w:ind w:left="426"/>
        <w:jc w:val="both"/>
        <w:rPr>
          <w:sz w:val="20"/>
        </w:rPr>
      </w:pPr>
      <w:r w:rsidRPr="00D47D55">
        <w:rPr>
          <w:sz w:val="20"/>
        </w:rPr>
        <w:t>D’être reconnue par l’AFE comme la voix de toutes les universités, d’être consultée par l’AFE avant l’implémentation des nouvelles règles; en effet d’être reconnue par AFE comme un partenaire.</w:t>
      </w:r>
    </w:p>
    <w:p w:rsidR="002301DF" w:rsidRPr="00D47D55" w:rsidRDefault="002301DF" w:rsidP="00D47D55">
      <w:pPr>
        <w:pStyle w:val="Paragraphedeliste"/>
        <w:numPr>
          <w:ilvl w:val="0"/>
          <w:numId w:val="1"/>
        </w:numPr>
        <w:ind w:left="426"/>
        <w:jc w:val="both"/>
        <w:rPr>
          <w:sz w:val="20"/>
        </w:rPr>
      </w:pPr>
      <w:r w:rsidRPr="00D47D55">
        <w:rPr>
          <w:sz w:val="20"/>
        </w:rPr>
        <w:t>L’AFE de savoir qu’elle peut compter sur notre collaboration lorsque le sujet est le bien-être des étudiants et étudiantes québécois.</w:t>
      </w:r>
      <w:r w:rsidR="00525BBC">
        <w:rPr>
          <w:sz w:val="20"/>
        </w:rPr>
        <w:t> »</w:t>
      </w:r>
    </w:p>
    <w:p w:rsidR="002301DF" w:rsidRPr="00D47D55" w:rsidRDefault="002301DF" w:rsidP="00D47D55">
      <w:pPr>
        <w:pStyle w:val="Paragraphedeliste"/>
        <w:numPr>
          <w:ilvl w:val="0"/>
          <w:numId w:val="1"/>
        </w:numPr>
        <w:ind w:left="426"/>
        <w:jc w:val="both"/>
        <w:rPr>
          <w:sz w:val="20"/>
        </w:rPr>
      </w:pPr>
      <w:r w:rsidRPr="00D47D55">
        <w:rPr>
          <w:sz w:val="20"/>
        </w:rPr>
        <w:t>Créer un lien solide entre les membres et parler d</w:t>
      </w:r>
      <w:r w:rsidR="00525BBC">
        <w:rPr>
          <w:sz w:val="20"/>
        </w:rPr>
        <w:t>’</w:t>
      </w:r>
      <w:r w:rsidRPr="00D47D55">
        <w:rPr>
          <w:sz w:val="20"/>
        </w:rPr>
        <w:t>une voix unique afin d</w:t>
      </w:r>
      <w:r w:rsidR="00525BBC">
        <w:rPr>
          <w:sz w:val="20"/>
        </w:rPr>
        <w:t>’</w:t>
      </w:r>
      <w:r w:rsidRPr="00D47D55">
        <w:rPr>
          <w:sz w:val="20"/>
        </w:rPr>
        <w:t>obtenir une meilleure communication avec la direction de l</w:t>
      </w:r>
      <w:r w:rsidR="00525BBC">
        <w:rPr>
          <w:sz w:val="20"/>
        </w:rPr>
        <w:t>’</w:t>
      </w:r>
      <w:r w:rsidRPr="00D47D55">
        <w:rPr>
          <w:sz w:val="20"/>
        </w:rPr>
        <w:t xml:space="preserve">AFE. </w:t>
      </w:r>
    </w:p>
    <w:p w:rsidR="002301DF" w:rsidRPr="00D47D55" w:rsidRDefault="002301DF" w:rsidP="00D47D55">
      <w:pPr>
        <w:pStyle w:val="Paragraphedeliste"/>
        <w:numPr>
          <w:ilvl w:val="0"/>
          <w:numId w:val="1"/>
        </w:numPr>
        <w:ind w:left="426"/>
        <w:jc w:val="both"/>
        <w:rPr>
          <w:sz w:val="20"/>
        </w:rPr>
      </w:pPr>
      <w:r w:rsidRPr="00D47D55">
        <w:rPr>
          <w:sz w:val="20"/>
        </w:rPr>
        <w:t>Afin de bien soutenir les étudiants en difficulté financière le personnel des bureaux d</w:t>
      </w:r>
      <w:r w:rsidR="00525BBC">
        <w:rPr>
          <w:sz w:val="20"/>
        </w:rPr>
        <w:t>’</w:t>
      </w:r>
      <w:r w:rsidRPr="00D47D55">
        <w:rPr>
          <w:sz w:val="20"/>
        </w:rPr>
        <w:t>aide financière doivent développer et entretenir des connaissances et compétences en matière d</w:t>
      </w:r>
      <w:r w:rsidR="00525BBC">
        <w:rPr>
          <w:sz w:val="20"/>
        </w:rPr>
        <w:t>’</w:t>
      </w:r>
      <w:r w:rsidRPr="00D47D55">
        <w:rPr>
          <w:sz w:val="20"/>
        </w:rPr>
        <w:t xml:space="preserve">aide financière aux études, en </w:t>
      </w:r>
      <w:proofErr w:type="spellStart"/>
      <w:r w:rsidRPr="00D47D55">
        <w:rPr>
          <w:sz w:val="20"/>
        </w:rPr>
        <w:t>littératie</w:t>
      </w:r>
      <w:proofErr w:type="spellEnd"/>
      <w:r w:rsidRPr="00D47D55">
        <w:rPr>
          <w:sz w:val="20"/>
        </w:rPr>
        <w:t xml:space="preserve"> financière ainsi qu</w:t>
      </w:r>
      <w:r w:rsidR="00525BBC">
        <w:rPr>
          <w:sz w:val="20"/>
        </w:rPr>
        <w:t>’</w:t>
      </w:r>
      <w:r w:rsidRPr="00D47D55">
        <w:rPr>
          <w:sz w:val="20"/>
        </w:rPr>
        <w:t>en intervention auprès des clientèles à</w:t>
      </w:r>
      <w:r w:rsidR="00D47D55" w:rsidRPr="00D47D55">
        <w:rPr>
          <w:sz w:val="20"/>
        </w:rPr>
        <w:t xml:space="preserve"> risque</w:t>
      </w:r>
      <w:r w:rsidRPr="00D47D55">
        <w:rPr>
          <w:sz w:val="20"/>
        </w:rPr>
        <w:t xml:space="preserve">. </w:t>
      </w:r>
    </w:p>
    <w:p w:rsidR="002301DF" w:rsidRPr="00D47D55" w:rsidRDefault="002301DF" w:rsidP="00D47D55">
      <w:pPr>
        <w:pStyle w:val="Paragraphedeliste"/>
        <w:numPr>
          <w:ilvl w:val="0"/>
          <w:numId w:val="1"/>
        </w:numPr>
        <w:ind w:left="426"/>
        <w:jc w:val="both"/>
        <w:rPr>
          <w:sz w:val="20"/>
        </w:rPr>
      </w:pPr>
      <w:r w:rsidRPr="00D47D55">
        <w:rPr>
          <w:sz w:val="20"/>
        </w:rPr>
        <w:t>L</w:t>
      </w:r>
      <w:r w:rsidR="00525BBC">
        <w:rPr>
          <w:sz w:val="20"/>
        </w:rPr>
        <w:t>’</w:t>
      </w:r>
      <w:r w:rsidRPr="00D47D55">
        <w:rPr>
          <w:sz w:val="20"/>
        </w:rPr>
        <w:t>objectif ultime de l</w:t>
      </w:r>
      <w:r w:rsidR="00525BBC">
        <w:rPr>
          <w:sz w:val="20"/>
        </w:rPr>
        <w:t>’</w:t>
      </w:r>
      <w:r w:rsidRPr="00D47D55">
        <w:rPr>
          <w:sz w:val="20"/>
        </w:rPr>
        <w:t>association est selon moi d</w:t>
      </w:r>
      <w:r w:rsidR="00525BBC">
        <w:rPr>
          <w:sz w:val="20"/>
        </w:rPr>
        <w:t>’</w:t>
      </w:r>
      <w:r w:rsidRPr="00D47D55">
        <w:rPr>
          <w:sz w:val="20"/>
        </w:rPr>
        <w:t>outiller ses membres et de permettre un développement professionnel spécifique aux besoins</w:t>
      </w:r>
      <w:r w:rsidR="00D47D55" w:rsidRPr="00D47D55">
        <w:rPr>
          <w:sz w:val="20"/>
        </w:rPr>
        <w:t xml:space="preserve"> des bureaux d</w:t>
      </w:r>
      <w:r w:rsidR="00525BBC">
        <w:rPr>
          <w:sz w:val="20"/>
        </w:rPr>
        <w:t>’</w:t>
      </w:r>
      <w:r w:rsidR="00D47D55" w:rsidRPr="00D47D55">
        <w:rPr>
          <w:sz w:val="20"/>
        </w:rPr>
        <w:t>aide financière.</w:t>
      </w:r>
    </w:p>
    <w:p w:rsidR="002301DF" w:rsidRPr="00D47D55" w:rsidRDefault="002301DF" w:rsidP="00D47D55">
      <w:pPr>
        <w:pStyle w:val="Paragraphedeliste"/>
        <w:numPr>
          <w:ilvl w:val="0"/>
          <w:numId w:val="1"/>
        </w:numPr>
        <w:ind w:left="426"/>
        <w:jc w:val="both"/>
        <w:rPr>
          <w:sz w:val="20"/>
        </w:rPr>
      </w:pPr>
      <w:r w:rsidRPr="00D47D55">
        <w:rPr>
          <w:sz w:val="20"/>
        </w:rPr>
        <w:t>Obtenir une plus grande reconnaissance de l</w:t>
      </w:r>
      <w:r w:rsidR="00525BBC">
        <w:rPr>
          <w:sz w:val="20"/>
        </w:rPr>
        <w:t>’</w:t>
      </w:r>
      <w:proofErr w:type="spellStart"/>
      <w:r w:rsidRPr="00D47D55">
        <w:rPr>
          <w:sz w:val="20"/>
        </w:rPr>
        <w:t>Aqrafe</w:t>
      </w:r>
      <w:proofErr w:type="spellEnd"/>
      <w:r w:rsidRPr="00D47D55">
        <w:rPr>
          <w:sz w:val="20"/>
        </w:rPr>
        <w:t xml:space="preserve"> auprès des décideurs afin que l</w:t>
      </w:r>
      <w:r w:rsidR="00525BBC">
        <w:rPr>
          <w:sz w:val="20"/>
        </w:rPr>
        <w:t>’</w:t>
      </w:r>
      <w:r w:rsidRPr="00D47D55">
        <w:rPr>
          <w:sz w:val="20"/>
        </w:rPr>
        <w:t xml:space="preserve">association soit davantage impliquée dans les enjeux à venir. </w:t>
      </w:r>
    </w:p>
    <w:p w:rsidR="002301DF" w:rsidRPr="00D47D55" w:rsidRDefault="002301DF" w:rsidP="00D47D55">
      <w:pPr>
        <w:pStyle w:val="Paragraphedeliste"/>
        <w:numPr>
          <w:ilvl w:val="0"/>
          <w:numId w:val="1"/>
        </w:numPr>
        <w:ind w:left="426"/>
        <w:jc w:val="both"/>
        <w:rPr>
          <w:sz w:val="20"/>
        </w:rPr>
      </w:pPr>
      <w:r w:rsidRPr="00D47D55">
        <w:rPr>
          <w:sz w:val="20"/>
        </w:rPr>
        <w:t>Vigie sur le programme et proposition d</w:t>
      </w:r>
      <w:r w:rsidR="00525BBC">
        <w:rPr>
          <w:sz w:val="20"/>
        </w:rPr>
        <w:t>’</w:t>
      </w:r>
      <w:r w:rsidRPr="00D47D55">
        <w:rPr>
          <w:sz w:val="20"/>
        </w:rPr>
        <w:t>amélioration du système</w:t>
      </w:r>
    </w:p>
    <w:p w:rsidR="002301DF" w:rsidRPr="00D47D55" w:rsidRDefault="002301DF" w:rsidP="00D47D55">
      <w:pPr>
        <w:pStyle w:val="Paragraphedeliste"/>
        <w:numPr>
          <w:ilvl w:val="0"/>
          <w:numId w:val="1"/>
        </w:numPr>
        <w:ind w:left="426"/>
        <w:jc w:val="both"/>
        <w:rPr>
          <w:sz w:val="20"/>
        </w:rPr>
      </w:pPr>
      <w:r w:rsidRPr="00D47D55">
        <w:rPr>
          <w:sz w:val="20"/>
        </w:rPr>
        <w:t>Voir à ce que la formation des conseillers soit maintenue (assurer la qualité des services)</w:t>
      </w:r>
    </w:p>
    <w:p w:rsidR="002301DF" w:rsidRPr="00D47D55" w:rsidRDefault="002301DF" w:rsidP="00D47D55">
      <w:pPr>
        <w:pStyle w:val="Paragraphedeliste"/>
        <w:numPr>
          <w:ilvl w:val="0"/>
          <w:numId w:val="1"/>
        </w:numPr>
        <w:ind w:left="426"/>
        <w:jc w:val="both"/>
        <w:rPr>
          <w:sz w:val="20"/>
        </w:rPr>
      </w:pPr>
      <w:r w:rsidRPr="00D47D55">
        <w:rPr>
          <w:sz w:val="20"/>
        </w:rPr>
        <w:t>Défendre les intérêts de ses membres face à la tâche et à l</w:t>
      </w:r>
      <w:r w:rsidR="00525BBC">
        <w:rPr>
          <w:sz w:val="20"/>
        </w:rPr>
        <w:t>’</w:t>
      </w:r>
      <w:r w:rsidRPr="00D47D55">
        <w:rPr>
          <w:sz w:val="20"/>
        </w:rPr>
        <w:t>évolution des classifications</w:t>
      </w:r>
    </w:p>
    <w:p w:rsidR="002301DF" w:rsidRPr="00D47D55" w:rsidRDefault="002301DF" w:rsidP="00D47D55">
      <w:pPr>
        <w:pStyle w:val="Paragraphedeliste"/>
        <w:numPr>
          <w:ilvl w:val="0"/>
          <w:numId w:val="1"/>
        </w:numPr>
        <w:ind w:left="426"/>
        <w:jc w:val="both"/>
        <w:rPr>
          <w:sz w:val="20"/>
        </w:rPr>
      </w:pPr>
      <w:r w:rsidRPr="00D47D55">
        <w:rPr>
          <w:sz w:val="20"/>
        </w:rPr>
        <w:t>Soutenir le développement de mesures alternatives aux étudiants.</w:t>
      </w:r>
    </w:p>
    <w:p w:rsidR="002301DF" w:rsidRPr="00D47D55" w:rsidRDefault="002301DF" w:rsidP="00D47D55">
      <w:pPr>
        <w:pStyle w:val="Paragraphedeliste"/>
        <w:numPr>
          <w:ilvl w:val="0"/>
          <w:numId w:val="1"/>
        </w:numPr>
        <w:ind w:left="426"/>
        <w:jc w:val="both"/>
        <w:rPr>
          <w:sz w:val="20"/>
        </w:rPr>
      </w:pPr>
      <w:r w:rsidRPr="00D47D55">
        <w:rPr>
          <w:sz w:val="20"/>
        </w:rPr>
        <w:t>Consolider sa position privilégiée de conseiller auprès des responsables de l</w:t>
      </w:r>
      <w:r w:rsidR="00525BBC">
        <w:rPr>
          <w:sz w:val="20"/>
        </w:rPr>
        <w:t>’</w:t>
      </w:r>
      <w:r w:rsidRPr="00D47D55">
        <w:rPr>
          <w:sz w:val="20"/>
        </w:rPr>
        <w:t>AFE ainsi que les dirigeants des établissements d</w:t>
      </w:r>
      <w:r w:rsidR="00525BBC">
        <w:rPr>
          <w:sz w:val="20"/>
        </w:rPr>
        <w:t>’</w:t>
      </w:r>
      <w:r w:rsidRPr="00D47D55">
        <w:rPr>
          <w:sz w:val="20"/>
        </w:rPr>
        <w:t>enseignements supérieurs au Québec en matière de finances personnels des étudiantes et étudiants</w:t>
      </w:r>
    </w:p>
    <w:p w:rsidR="002301DF" w:rsidRPr="00D47D55" w:rsidRDefault="002301DF" w:rsidP="00D47D55">
      <w:pPr>
        <w:pStyle w:val="Paragraphedeliste"/>
        <w:numPr>
          <w:ilvl w:val="0"/>
          <w:numId w:val="1"/>
        </w:numPr>
        <w:ind w:left="426"/>
        <w:jc w:val="both"/>
        <w:rPr>
          <w:sz w:val="20"/>
        </w:rPr>
      </w:pPr>
      <w:r w:rsidRPr="00D47D55">
        <w:rPr>
          <w:sz w:val="20"/>
        </w:rPr>
        <w:t>Développer des stratégies permettant de faciliter les liens et les échanges entre les membres et de former les membres.</w:t>
      </w:r>
    </w:p>
    <w:p w:rsidR="002301DF" w:rsidRPr="00D47D55" w:rsidRDefault="00525BBC" w:rsidP="00D47D55">
      <w:pPr>
        <w:pStyle w:val="Paragraphedeliste"/>
        <w:numPr>
          <w:ilvl w:val="0"/>
          <w:numId w:val="1"/>
        </w:numPr>
        <w:ind w:left="426"/>
        <w:jc w:val="both"/>
        <w:rPr>
          <w:sz w:val="20"/>
        </w:rPr>
      </w:pPr>
      <w:r>
        <w:rPr>
          <w:sz w:val="20"/>
        </w:rPr>
        <w:t>« </w:t>
      </w:r>
      <w:r w:rsidR="002301DF" w:rsidRPr="00D47D55">
        <w:rPr>
          <w:sz w:val="20"/>
        </w:rPr>
        <w:t>Continuer de se battre pour préserver le programme de prêts et bourses et tous les services professionnels et de qualité offerts aux étudiants par les responsables de l</w:t>
      </w:r>
      <w:r>
        <w:rPr>
          <w:sz w:val="20"/>
        </w:rPr>
        <w:t>’</w:t>
      </w:r>
      <w:r w:rsidR="002301DF" w:rsidRPr="00D47D55">
        <w:rPr>
          <w:sz w:val="20"/>
        </w:rPr>
        <w:t>aide financière aux études dans les établissements d</w:t>
      </w:r>
      <w:r>
        <w:rPr>
          <w:sz w:val="20"/>
        </w:rPr>
        <w:t>’</w:t>
      </w:r>
      <w:r w:rsidR="002301DF" w:rsidRPr="00D47D55">
        <w:rPr>
          <w:sz w:val="20"/>
        </w:rPr>
        <w:t>enseignement, afin d</w:t>
      </w:r>
      <w:r>
        <w:rPr>
          <w:sz w:val="20"/>
        </w:rPr>
        <w:t>’</w:t>
      </w:r>
      <w:r w:rsidR="002301DF" w:rsidRPr="00D47D55">
        <w:rPr>
          <w:sz w:val="20"/>
        </w:rPr>
        <w:t>éviter le décrochage scolaire des étudiants.</w:t>
      </w:r>
    </w:p>
    <w:p w:rsidR="002301DF" w:rsidRPr="00D47D55" w:rsidRDefault="002301DF" w:rsidP="00D47D55">
      <w:pPr>
        <w:pStyle w:val="Paragraphedeliste"/>
        <w:numPr>
          <w:ilvl w:val="0"/>
          <w:numId w:val="1"/>
        </w:numPr>
        <w:ind w:left="426"/>
        <w:jc w:val="both"/>
        <w:rPr>
          <w:sz w:val="20"/>
        </w:rPr>
      </w:pPr>
      <w:r w:rsidRPr="00D47D55">
        <w:rPr>
          <w:sz w:val="20"/>
        </w:rPr>
        <w:lastRenderedPageBreak/>
        <w:t>Transmettre et faire valoir nos demandes auprès du gouvernement afin de pouvoir améliorer, tous ensemble, les services offerts aux étudiants qui ont besoin d</w:t>
      </w:r>
      <w:r w:rsidR="00525BBC">
        <w:rPr>
          <w:sz w:val="20"/>
        </w:rPr>
        <w:t>’</w:t>
      </w:r>
      <w:r w:rsidRPr="00D47D55">
        <w:rPr>
          <w:sz w:val="20"/>
        </w:rPr>
        <w:t>aide financière pour poursuivre leurs études.</w:t>
      </w:r>
    </w:p>
    <w:p w:rsidR="002301DF" w:rsidRPr="00D47D55" w:rsidRDefault="002301DF" w:rsidP="00D47D55">
      <w:pPr>
        <w:pStyle w:val="Paragraphedeliste"/>
        <w:numPr>
          <w:ilvl w:val="0"/>
          <w:numId w:val="1"/>
        </w:numPr>
        <w:ind w:left="426"/>
        <w:jc w:val="both"/>
        <w:rPr>
          <w:sz w:val="20"/>
        </w:rPr>
      </w:pPr>
      <w:r w:rsidRPr="00D47D55">
        <w:rPr>
          <w:sz w:val="20"/>
        </w:rPr>
        <w:t>Augmenter la notoriété de l</w:t>
      </w:r>
      <w:r w:rsidR="00525BBC">
        <w:rPr>
          <w:sz w:val="20"/>
        </w:rPr>
        <w:t>’</w:t>
      </w:r>
      <w:r w:rsidRPr="00D47D55">
        <w:rPr>
          <w:sz w:val="20"/>
        </w:rPr>
        <w:t>association par différents véhicules ET faire en sorte que l</w:t>
      </w:r>
      <w:r w:rsidR="00525BBC">
        <w:rPr>
          <w:sz w:val="20"/>
        </w:rPr>
        <w:t>’</w:t>
      </w:r>
      <w:r w:rsidRPr="00D47D55">
        <w:rPr>
          <w:sz w:val="20"/>
        </w:rPr>
        <w:t>adhésion à celle-ci soit une plus-value pour ses membres.</w:t>
      </w:r>
    </w:p>
    <w:p w:rsidR="002301DF" w:rsidRPr="00D47D55" w:rsidRDefault="002301DF" w:rsidP="00D47D55">
      <w:pPr>
        <w:pStyle w:val="Paragraphedeliste"/>
        <w:numPr>
          <w:ilvl w:val="0"/>
          <w:numId w:val="1"/>
        </w:numPr>
        <w:ind w:left="426"/>
        <w:jc w:val="both"/>
        <w:rPr>
          <w:sz w:val="20"/>
        </w:rPr>
      </w:pPr>
      <w:r w:rsidRPr="00D47D55">
        <w:rPr>
          <w:sz w:val="20"/>
        </w:rPr>
        <w:t xml:space="preserve">Mettre tout en </w:t>
      </w:r>
      <w:r w:rsidR="00D47D55" w:rsidRPr="00D47D55">
        <w:rPr>
          <w:sz w:val="20"/>
        </w:rPr>
        <w:t>œuvre</w:t>
      </w:r>
      <w:r w:rsidRPr="00D47D55">
        <w:rPr>
          <w:sz w:val="20"/>
        </w:rPr>
        <w:t xml:space="preserve"> pour faciliter l</w:t>
      </w:r>
      <w:r w:rsidR="00525BBC">
        <w:rPr>
          <w:sz w:val="20"/>
        </w:rPr>
        <w:t>’</w:t>
      </w:r>
      <w:r w:rsidRPr="00D47D55">
        <w:rPr>
          <w:sz w:val="20"/>
        </w:rPr>
        <w:t>accessibilité aux études des étudiants en allégeant le processus, i.e. réponses rapides de la part du Mi</w:t>
      </w:r>
      <w:r w:rsidR="007A673E" w:rsidRPr="00D47D55">
        <w:rPr>
          <w:sz w:val="20"/>
        </w:rPr>
        <w:t>nistère (profil 3 vs profil 2).</w:t>
      </w:r>
    </w:p>
    <w:p w:rsidR="002301DF" w:rsidRPr="00D47D55" w:rsidRDefault="002301DF" w:rsidP="00D47D55">
      <w:pPr>
        <w:pStyle w:val="Paragraphedeliste"/>
        <w:numPr>
          <w:ilvl w:val="0"/>
          <w:numId w:val="1"/>
        </w:numPr>
        <w:ind w:left="426"/>
        <w:jc w:val="both"/>
        <w:rPr>
          <w:sz w:val="20"/>
        </w:rPr>
      </w:pPr>
      <w:r w:rsidRPr="00D47D55">
        <w:rPr>
          <w:sz w:val="20"/>
        </w:rPr>
        <w:t>Avoir plus de voix et de place auprès de l</w:t>
      </w:r>
      <w:r w:rsidR="00525BBC">
        <w:rPr>
          <w:sz w:val="20"/>
        </w:rPr>
        <w:t>’</w:t>
      </w:r>
      <w:r w:rsidRPr="00D47D55">
        <w:rPr>
          <w:sz w:val="20"/>
        </w:rPr>
        <w:t>AFE pour que nos avis et nos propositions aient du poids.</w:t>
      </w:r>
    </w:p>
    <w:p w:rsidR="007A673E" w:rsidRPr="00D47D55" w:rsidRDefault="002301DF" w:rsidP="00D47D55">
      <w:pPr>
        <w:pStyle w:val="Paragraphedeliste"/>
        <w:numPr>
          <w:ilvl w:val="0"/>
          <w:numId w:val="1"/>
        </w:numPr>
        <w:ind w:left="426"/>
        <w:jc w:val="both"/>
        <w:rPr>
          <w:sz w:val="20"/>
        </w:rPr>
      </w:pPr>
      <w:r w:rsidRPr="00D47D55">
        <w:rPr>
          <w:sz w:val="20"/>
        </w:rPr>
        <w:t>Promouvoir le développement professionnel de ses membres, contribuer à l</w:t>
      </w:r>
      <w:r w:rsidR="00525BBC">
        <w:rPr>
          <w:sz w:val="20"/>
        </w:rPr>
        <w:t>’</w:t>
      </w:r>
      <w:r w:rsidRPr="00D47D55">
        <w:rPr>
          <w:sz w:val="20"/>
        </w:rPr>
        <w:t xml:space="preserve">enrichissement des connaissances en matière de </w:t>
      </w:r>
      <w:proofErr w:type="spellStart"/>
      <w:r w:rsidRPr="00D47D55">
        <w:rPr>
          <w:sz w:val="20"/>
        </w:rPr>
        <w:t>littératie</w:t>
      </w:r>
      <w:proofErr w:type="spellEnd"/>
      <w:r w:rsidRPr="00D47D55">
        <w:rPr>
          <w:sz w:val="20"/>
        </w:rPr>
        <w:t xml:space="preserve"> financière et au développement de conditions financières favorables à la réussite scolaire de la clientèle étudiante.</w:t>
      </w:r>
    </w:p>
    <w:p w:rsidR="00D47D55" w:rsidRDefault="00D47D55" w:rsidP="00D47D55">
      <w:pPr>
        <w:pStyle w:val="Paragraphedeliste"/>
        <w:jc w:val="both"/>
      </w:pPr>
    </w:p>
    <w:p w:rsidR="00525BBC" w:rsidRDefault="00525BBC" w:rsidP="00D47D55">
      <w:pPr>
        <w:pStyle w:val="Paragraphedeliste"/>
        <w:jc w:val="both"/>
      </w:pPr>
    </w:p>
    <w:p w:rsidR="001F65F6" w:rsidRPr="00525BBC" w:rsidRDefault="00525BBC" w:rsidP="00525BBC">
      <w:pPr>
        <w:rPr>
          <w:rFonts w:cs="Arial"/>
          <w:b/>
          <w:color w:val="000000"/>
          <w:szCs w:val="20"/>
        </w:rPr>
      </w:pPr>
      <w:r w:rsidRPr="00525BBC">
        <w:rPr>
          <w:rFonts w:cs="Arial"/>
          <w:b/>
          <w:color w:val="000000"/>
          <w:szCs w:val="20"/>
        </w:rPr>
        <w:t>Réponses à la question : « </w:t>
      </w:r>
      <w:r w:rsidR="007A673E" w:rsidRPr="00525BBC">
        <w:rPr>
          <w:rFonts w:cs="Arial"/>
          <w:b/>
          <w:color w:val="000000"/>
          <w:szCs w:val="20"/>
        </w:rPr>
        <w:t>Quelle importance accorderiez-vous à</w:t>
      </w:r>
      <w:r w:rsidR="001F65F6" w:rsidRPr="00525BBC">
        <w:rPr>
          <w:rFonts w:cs="Arial"/>
          <w:b/>
          <w:color w:val="000000"/>
          <w:szCs w:val="20"/>
        </w:rPr>
        <w:t> :</w:t>
      </w:r>
      <w:r w:rsidRPr="00525BBC">
        <w:rPr>
          <w:rFonts w:cs="Arial"/>
          <w:b/>
          <w:color w:val="000000"/>
          <w:szCs w:val="20"/>
        </w:rPr>
        <w:t> »</w:t>
      </w:r>
    </w:p>
    <w:p w:rsidR="001F65F6" w:rsidRPr="00525BBC" w:rsidRDefault="001F65F6" w:rsidP="00525BBC">
      <w:pPr>
        <w:pStyle w:val="Paragraphedeliste"/>
        <w:numPr>
          <w:ilvl w:val="0"/>
          <w:numId w:val="5"/>
        </w:numPr>
        <w:ind w:left="426" w:hanging="349"/>
        <w:jc w:val="both"/>
        <w:rPr>
          <w:rFonts w:cs="Arial"/>
          <w:color w:val="000000"/>
          <w:sz w:val="20"/>
        </w:rPr>
      </w:pPr>
      <w:r w:rsidRPr="00525BBC">
        <w:rPr>
          <w:rFonts w:cs="Arial"/>
          <w:color w:val="000000"/>
          <w:sz w:val="20"/>
        </w:rPr>
        <w:t>Relations de l'association avec l'Aide financière aux études (AFE) ?</w:t>
      </w:r>
      <w:r w:rsidR="00525BBC" w:rsidRPr="00525BBC">
        <w:rPr>
          <w:rFonts w:cs="Arial"/>
          <w:color w:val="000000"/>
          <w:sz w:val="20"/>
        </w:rPr>
        <w:t xml:space="preserve"> </w:t>
      </w:r>
      <w:r w:rsidRPr="00525BBC">
        <w:rPr>
          <w:rFonts w:cs="Arial"/>
          <w:b/>
          <w:color w:val="000000"/>
          <w:sz w:val="20"/>
        </w:rPr>
        <w:t>Cote moyenne : 4.43</w:t>
      </w:r>
    </w:p>
    <w:p w:rsidR="001F65F6" w:rsidRPr="00525BBC" w:rsidRDefault="001F65F6" w:rsidP="00525BBC">
      <w:pPr>
        <w:pStyle w:val="Paragraphedeliste"/>
        <w:numPr>
          <w:ilvl w:val="0"/>
          <w:numId w:val="5"/>
        </w:numPr>
        <w:ind w:left="426" w:hanging="349"/>
        <w:jc w:val="both"/>
        <w:rPr>
          <w:rFonts w:cs="Arial"/>
          <w:color w:val="000000"/>
          <w:sz w:val="20"/>
        </w:rPr>
      </w:pPr>
      <w:r w:rsidRPr="00525BBC">
        <w:rPr>
          <w:rFonts w:cs="Arial"/>
          <w:color w:val="000000"/>
          <w:sz w:val="20"/>
        </w:rPr>
        <w:t>Relations et à la collaboration entre les établissements d'enseignements ?</w:t>
      </w:r>
      <w:r w:rsidR="00525BBC" w:rsidRPr="00525BBC">
        <w:rPr>
          <w:rFonts w:cs="Arial"/>
          <w:color w:val="000000"/>
          <w:sz w:val="20"/>
        </w:rPr>
        <w:t xml:space="preserve"> </w:t>
      </w:r>
      <w:r w:rsidRPr="00525BBC">
        <w:rPr>
          <w:rFonts w:cs="Arial"/>
          <w:b/>
          <w:color w:val="000000"/>
          <w:sz w:val="20"/>
        </w:rPr>
        <w:t>Cote moyenne : 4.38</w:t>
      </w:r>
    </w:p>
    <w:p w:rsidR="001F65F6" w:rsidRPr="00525BBC" w:rsidRDefault="001F65F6" w:rsidP="00525BBC">
      <w:pPr>
        <w:pStyle w:val="Paragraphedeliste"/>
        <w:numPr>
          <w:ilvl w:val="0"/>
          <w:numId w:val="5"/>
        </w:numPr>
        <w:ind w:left="426" w:hanging="349"/>
        <w:jc w:val="both"/>
        <w:rPr>
          <w:rFonts w:cs="Arial"/>
          <w:color w:val="000000"/>
          <w:sz w:val="20"/>
        </w:rPr>
      </w:pPr>
      <w:proofErr w:type="spellStart"/>
      <w:r w:rsidRPr="00525BBC">
        <w:rPr>
          <w:rFonts w:cs="Arial"/>
          <w:color w:val="000000"/>
          <w:sz w:val="20"/>
        </w:rPr>
        <w:t>Littératie</w:t>
      </w:r>
      <w:proofErr w:type="spellEnd"/>
      <w:r w:rsidRPr="00525BBC">
        <w:rPr>
          <w:rFonts w:cs="Arial"/>
          <w:color w:val="000000"/>
          <w:sz w:val="20"/>
        </w:rPr>
        <w:t xml:space="preserve"> financière pour les étudiants</w:t>
      </w:r>
      <w:r w:rsidRPr="00525BBC">
        <w:rPr>
          <w:rStyle w:val="trix-quote"/>
          <w:rFonts w:cs="Arial"/>
          <w:color w:val="000000"/>
          <w:sz w:val="20"/>
        </w:rPr>
        <w:t xml:space="preserve"> ?</w:t>
      </w:r>
      <w:r w:rsidR="00525BBC" w:rsidRPr="00525BBC">
        <w:rPr>
          <w:rStyle w:val="trix-quote"/>
          <w:rFonts w:cs="Arial"/>
          <w:color w:val="000000"/>
          <w:sz w:val="20"/>
        </w:rPr>
        <w:t xml:space="preserve"> </w:t>
      </w:r>
      <w:r w:rsidRPr="00525BBC">
        <w:rPr>
          <w:rStyle w:val="trix-quote"/>
          <w:rFonts w:cs="Arial"/>
          <w:b/>
          <w:color w:val="000000"/>
          <w:sz w:val="20"/>
        </w:rPr>
        <w:t>Cote moyenne : 4.19</w:t>
      </w:r>
    </w:p>
    <w:p w:rsidR="007A673E" w:rsidRPr="00525BBC" w:rsidRDefault="007A673E" w:rsidP="00525BBC">
      <w:pPr>
        <w:pStyle w:val="Paragraphedeliste"/>
        <w:numPr>
          <w:ilvl w:val="0"/>
          <w:numId w:val="5"/>
        </w:numPr>
        <w:ind w:left="426" w:hanging="349"/>
        <w:jc w:val="both"/>
        <w:rPr>
          <w:rFonts w:cs="Arial"/>
          <w:color w:val="000000"/>
          <w:sz w:val="20"/>
        </w:rPr>
      </w:pPr>
      <w:r w:rsidRPr="00525BBC">
        <w:rPr>
          <w:rFonts w:cs="Arial"/>
          <w:color w:val="000000"/>
          <w:sz w:val="20"/>
        </w:rPr>
        <w:t>La défense des intérêts des étudiants auprès des instances politiques</w:t>
      </w:r>
      <w:r w:rsidR="001F65F6" w:rsidRPr="00525BBC">
        <w:rPr>
          <w:rStyle w:val="trix-quote"/>
          <w:rFonts w:cs="Arial"/>
          <w:color w:val="000000"/>
          <w:sz w:val="20"/>
        </w:rPr>
        <w:t xml:space="preserve"> </w:t>
      </w:r>
      <w:r w:rsidRPr="00525BBC">
        <w:rPr>
          <w:rFonts w:cs="Arial"/>
          <w:color w:val="000000"/>
          <w:sz w:val="20"/>
        </w:rPr>
        <w:t>?</w:t>
      </w:r>
      <w:r w:rsidR="00525BBC" w:rsidRPr="00525BBC">
        <w:rPr>
          <w:rFonts w:cs="Arial"/>
          <w:color w:val="000000"/>
          <w:sz w:val="20"/>
        </w:rPr>
        <w:t xml:space="preserve"> </w:t>
      </w:r>
      <w:r w:rsidRPr="00525BBC">
        <w:rPr>
          <w:rFonts w:cs="Arial"/>
          <w:b/>
          <w:color w:val="000000"/>
          <w:sz w:val="20"/>
        </w:rPr>
        <w:t>Cote en moyenne : 4.19</w:t>
      </w:r>
    </w:p>
    <w:p w:rsidR="001F65F6" w:rsidRPr="00525BBC" w:rsidRDefault="001F65F6" w:rsidP="00525BBC">
      <w:pPr>
        <w:pStyle w:val="Paragraphedeliste"/>
        <w:numPr>
          <w:ilvl w:val="0"/>
          <w:numId w:val="5"/>
        </w:numPr>
        <w:ind w:left="426" w:hanging="349"/>
        <w:jc w:val="both"/>
        <w:rPr>
          <w:rFonts w:cs="Arial"/>
          <w:color w:val="000000"/>
          <w:sz w:val="20"/>
        </w:rPr>
      </w:pPr>
      <w:r w:rsidRPr="00525BBC">
        <w:rPr>
          <w:rFonts w:cs="Arial"/>
          <w:color w:val="000000"/>
          <w:sz w:val="20"/>
        </w:rPr>
        <w:t>Développement et à l'organisation interne de l'association ?</w:t>
      </w:r>
      <w:r w:rsidR="00525BBC" w:rsidRPr="00525BBC">
        <w:rPr>
          <w:rFonts w:cs="Arial"/>
          <w:color w:val="000000"/>
          <w:sz w:val="20"/>
        </w:rPr>
        <w:t xml:space="preserve"> </w:t>
      </w:r>
      <w:r w:rsidRPr="00525BBC">
        <w:rPr>
          <w:b/>
          <w:sz w:val="20"/>
        </w:rPr>
        <w:t>Cote moyenne : 4.14</w:t>
      </w:r>
    </w:p>
    <w:p w:rsidR="001F65F6" w:rsidRPr="00525BBC" w:rsidRDefault="001F65F6" w:rsidP="00525BBC">
      <w:pPr>
        <w:pStyle w:val="Paragraphedeliste"/>
        <w:numPr>
          <w:ilvl w:val="0"/>
          <w:numId w:val="5"/>
        </w:numPr>
        <w:ind w:left="426" w:hanging="349"/>
        <w:jc w:val="both"/>
        <w:rPr>
          <w:rFonts w:cs="Arial"/>
          <w:color w:val="000000"/>
          <w:sz w:val="20"/>
        </w:rPr>
      </w:pPr>
      <w:r w:rsidRPr="00525BBC">
        <w:rPr>
          <w:rFonts w:cs="Arial"/>
          <w:color w:val="000000"/>
          <w:sz w:val="20"/>
        </w:rPr>
        <w:t>La notoriété de l'association ?</w:t>
      </w:r>
      <w:r w:rsidR="00525BBC" w:rsidRPr="00525BBC">
        <w:rPr>
          <w:rFonts w:cs="Arial"/>
          <w:color w:val="000000"/>
          <w:sz w:val="20"/>
        </w:rPr>
        <w:t xml:space="preserve"> </w:t>
      </w:r>
      <w:r w:rsidRPr="00525BBC">
        <w:rPr>
          <w:rFonts w:cs="Arial"/>
          <w:b/>
          <w:color w:val="000000"/>
          <w:sz w:val="20"/>
        </w:rPr>
        <w:t>Cote moyenne : 3.81</w:t>
      </w:r>
    </w:p>
    <w:p w:rsidR="00525BBC" w:rsidRDefault="00525BBC" w:rsidP="007A673E">
      <w:pPr>
        <w:jc w:val="both"/>
        <w:rPr>
          <w:rFonts w:cs="Arial"/>
          <w:color w:val="000000"/>
          <w:sz w:val="20"/>
        </w:rPr>
      </w:pPr>
    </w:p>
    <w:p w:rsidR="00525BBC" w:rsidRDefault="00525BBC" w:rsidP="007A673E">
      <w:pPr>
        <w:jc w:val="both"/>
        <w:rPr>
          <w:rFonts w:cs="Arial"/>
          <w:color w:val="000000"/>
          <w:sz w:val="20"/>
        </w:rPr>
      </w:pPr>
    </w:p>
    <w:p w:rsidR="0056059F" w:rsidRDefault="00525BBC" w:rsidP="00525BBC">
      <w:pPr>
        <w:rPr>
          <w:rFonts w:cs="Arial"/>
          <w:b/>
          <w:color w:val="000000"/>
        </w:rPr>
      </w:pPr>
      <w:r w:rsidRPr="00525BBC">
        <w:rPr>
          <w:rFonts w:cs="Arial"/>
          <w:b/>
          <w:color w:val="000000"/>
        </w:rPr>
        <w:t xml:space="preserve">Réponses sur les sujets prioritaires : </w:t>
      </w:r>
    </w:p>
    <w:p w:rsidR="00525BBC" w:rsidRPr="00525BBC" w:rsidRDefault="00525BBC" w:rsidP="00525BBC">
      <w:pPr>
        <w:rPr>
          <w:rFonts w:ascii="Arial" w:hAnsi="Arial" w:cs="Arial"/>
          <w:b/>
          <w:color w:val="000000"/>
          <w:szCs w:val="20"/>
        </w:rPr>
      </w:pPr>
    </w:p>
    <w:tbl>
      <w:tblPr>
        <w:tblStyle w:val="Grilledutableau"/>
        <w:tblW w:w="0" w:type="auto"/>
        <w:tblLook w:val="04A0" w:firstRow="1" w:lastRow="0" w:firstColumn="1" w:lastColumn="0" w:noHBand="0" w:noVBand="1"/>
      </w:tblPr>
      <w:tblGrid>
        <w:gridCol w:w="2157"/>
        <w:gridCol w:w="2157"/>
        <w:gridCol w:w="2158"/>
        <w:gridCol w:w="2158"/>
      </w:tblGrid>
      <w:tr w:rsidR="0056059F" w:rsidRPr="00525BBC" w:rsidTr="00525BBC">
        <w:tc>
          <w:tcPr>
            <w:tcW w:w="2157" w:type="dxa"/>
            <w:shd w:val="pct12" w:color="auto" w:fill="auto"/>
          </w:tcPr>
          <w:p w:rsidR="0056059F" w:rsidRPr="00525BBC" w:rsidRDefault="0056059F" w:rsidP="0056059F">
            <w:pPr>
              <w:rPr>
                <w:b/>
                <w:sz w:val="16"/>
                <w:szCs w:val="20"/>
              </w:rPr>
            </w:pPr>
          </w:p>
        </w:tc>
        <w:tc>
          <w:tcPr>
            <w:tcW w:w="2157" w:type="dxa"/>
            <w:shd w:val="pct12" w:color="auto" w:fill="auto"/>
          </w:tcPr>
          <w:p w:rsidR="0056059F" w:rsidRPr="00525BBC" w:rsidRDefault="0056059F" w:rsidP="0056059F">
            <w:pPr>
              <w:jc w:val="center"/>
              <w:rPr>
                <w:rFonts w:ascii="Arial" w:hAnsi="Arial" w:cs="Arial"/>
                <w:b/>
                <w:color w:val="000000"/>
                <w:sz w:val="16"/>
                <w:szCs w:val="20"/>
              </w:rPr>
            </w:pPr>
            <w:r w:rsidRPr="00525BBC">
              <w:rPr>
                <w:rFonts w:ascii="Arial" w:hAnsi="Arial" w:cs="Arial"/>
                <w:b/>
                <w:color w:val="000000"/>
                <w:sz w:val="16"/>
                <w:szCs w:val="20"/>
              </w:rPr>
              <w:t>Choix 1</w:t>
            </w:r>
          </w:p>
        </w:tc>
        <w:tc>
          <w:tcPr>
            <w:tcW w:w="2158" w:type="dxa"/>
            <w:shd w:val="pct12" w:color="auto" w:fill="auto"/>
          </w:tcPr>
          <w:p w:rsidR="0056059F" w:rsidRPr="00525BBC" w:rsidRDefault="0056059F" w:rsidP="0056059F">
            <w:pPr>
              <w:jc w:val="center"/>
              <w:rPr>
                <w:rFonts w:ascii="Arial" w:hAnsi="Arial" w:cs="Arial"/>
                <w:b/>
                <w:color w:val="000000"/>
                <w:sz w:val="16"/>
                <w:szCs w:val="20"/>
              </w:rPr>
            </w:pPr>
            <w:r w:rsidRPr="00525BBC">
              <w:rPr>
                <w:rFonts w:ascii="Arial" w:hAnsi="Arial" w:cs="Arial"/>
                <w:b/>
                <w:color w:val="000000"/>
                <w:sz w:val="16"/>
                <w:szCs w:val="20"/>
              </w:rPr>
              <w:t>Choix 2</w:t>
            </w:r>
          </w:p>
        </w:tc>
        <w:tc>
          <w:tcPr>
            <w:tcW w:w="2158" w:type="dxa"/>
            <w:shd w:val="pct12" w:color="auto" w:fill="auto"/>
          </w:tcPr>
          <w:p w:rsidR="0056059F" w:rsidRPr="00525BBC" w:rsidRDefault="0056059F" w:rsidP="0056059F">
            <w:pPr>
              <w:jc w:val="center"/>
              <w:rPr>
                <w:rFonts w:ascii="Arial" w:hAnsi="Arial" w:cs="Arial"/>
                <w:b/>
                <w:color w:val="000000"/>
                <w:sz w:val="16"/>
                <w:szCs w:val="20"/>
              </w:rPr>
            </w:pPr>
            <w:r w:rsidRPr="00525BBC">
              <w:rPr>
                <w:rFonts w:ascii="Arial" w:hAnsi="Arial" w:cs="Arial"/>
                <w:b/>
                <w:color w:val="000000"/>
                <w:sz w:val="16"/>
                <w:szCs w:val="20"/>
              </w:rPr>
              <w:t>Choix 3</w:t>
            </w:r>
          </w:p>
        </w:tc>
      </w:tr>
      <w:tr w:rsidR="0056059F" w:rsidRPr="00525BBC" w:rsidTr="00525BBC">
        <w:trPr>
          <w:trHeight w:val="284"/>
        </w:trPr>
        <w:tc>
          <w:tcPr>
            <w:tcW w:w="2157" w:type="dxa"/>
          </w:tcPr>
          <w:p w:rsidR="0056059F" w:rsidRPr="00525BBC" w:rsidRDefault="0056059F" w:rsidP="0056059F">
            <w:pPr>
              <w:rPr>
                <w:b/>
                <w:sz w:val="18"/>
                <w:szCs w:val="20"/>
              </w:rPr>
            </w:pPr>
            <w:r w:rsidRPr="00525BBC">
              <w:rPr>
                <w:b/>
                <w:sz w:val="18"/>
                <w:szCs w:val="20"/>
              </w:rPr>
              <w:t>Accessibilité aux études par les programmes d'aide financière</w:t>
            </w: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9</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5</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3</w:t>
            </w:r>
          </w:p>
        </w:tc>
      </w:tr>
      <w:tr w:rsidR="0056059F" w:rsidRPr="00525BBC" w:rsidTr="00525BBC">
        <w:trPr>
          <w:trHeight w:val="284"/>
        </w:trPr>
        <w:tc>
          <w:tcPr>
            <w:tcW w:w="2157" w:type="dxa"/>
          </w:tcPr>
          <w:p w:rsidR="0056059F" w:rsidRPr="00525BBC" w:rsidRDefault="0056059F" w:rsidP="0056059F">
            <w:pPr>
              <w:rPr>
                <w:b/>
                <w:sz w:val="18"/>
                <w:szCs w:val="20"/>
              </w:rPr>
            </w:pPr>
            <w:r w:rsidRPr="00525BBC">
              <w:rPr>
                <w:b/>
                <w:sz w:val="18"/>
                <w:szCs w:val="20"/>
              </w:rPr>
              <w:t>Communications inter-établissements</w:t>
            </w:r>
          </w:p>
          <w:p w:rsidR="00525BBC" w:rsidRPr="00525BBC" w:rsidRDefault="00525BBC" w:rsidP="0056059F">
            <w:pPr>
              <w:rPr>
                <w:b/>
                <w:sz w:val="18"/>
                <w:szCs w:val="20"/>
              </w:rPr>
            </w:pP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2</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3</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7</w:t>
            </w:r>
          </w:p>
        </w:tc>
      </w:tr>
      <w:tr w:rsidR="0056059F" w:rsidRPr="00525BBC" w:rsidTr="00525BBC">
        <w:trPr>
          <w:trHeight w:val="284"/>
        </w:trPr>
        <w:tc>
          <w:tcPr>
            <w:tcW w:w="2157" w:type="dxa"/>
          </w:tcPr>
          <w:p w:rsidR="00525BBC" w:rsidRPr="00525BBC" w:rsidRDefault="0056059F" w:rsidP="0056059F">
            <w:pPr>
              <w:rPr>
                <w:b/>
                <w:sz w:val="18"/>
                <w:szCs w:val="20"/>
              </w:rPr>
            </w:pPr>
            <w:r w:rsidRPr="00525BBC">
              <w:rPr>
                <w:b/>
                <w:sz w:val="18"/>
                <w:szCs w:val="20"/>
              </w:rPr>
              <w:t xml:space="preserve">Communications avec les </w:t>
            </w:r>
          </w:p>
          <w:p w:rsidR="0056059F" w:rsidRPr="00525BBC" w:rsidRDefault="0056059F" w:rsidP="0056059F">
            <w:pPr>
              <w:rPr>
                <w:b/>
                <w:sz w:val="18"/>
                <w:szCs w:val="20"/>
              </w:rPr>
            </w:pPr>
            <w:r w:rsidRPr="00525BBC">
              <w:rPr>
                <w:b/>
                <w:sz w:val="18"/>
                <w:szCs w:val="20"/>
              </w:rPr>
              <w:t>instances gouvernementales</w:t>
            </w:r>
          </w:p>
          <w:p w:rsidR="00525BBC" w:rsidRPr="00525BBC" w:rsidRDefault="00525BBC" w:rsidP="0056059F">
            <w:pPr>
              <w:rPr>
                <w:b/>
                <w:sz w:val="18"/>
                <w:szCs w:val="20"/>
              </w:rPr>
            </w:pP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7</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6</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2</w:t>
            </w:r>
          </w:p>
        </w:tc>
      </w:tr>
      <w:tr w:rsidR="0056059F" w:rsidRPr="00525BBC" w:rsidTr="00525BBC">
        <w:trPr>
          <w:trHeight w:val="284"/>
        </w:trPr>
        <w:tc>
          <w:tcPr>
            <w:tcW w:w="2157" w:type="dxa"/>
          </w:tcPr>
          <w:p w:rsidR="0056059F" w:rsidRPr="00525BBC" w:rsidRDefault="0056059F" w:rsidP="0056059F">
            <w:pPr>
              <w:rPr>
                <w:b/>
                <w:sz w:val="18"/>
                <w:szCs w:val="20"/>
              </w:rPr>
            </w:pPr>
            <w:r w:rsidRPr="00525BBC">
              <w:rPr>
                <w:b/>
                <w:sz w:val="18"/>
                <w:szCs w:val="20"/>
              </w:rPr>
              <w:t>Notoriété de l'AQRAFE</w:t>
            </w:r>
          </w:p>
          <w:p w:rsidR="0056059F" w:rsidRPr="00525BBC" w:rsidRDefault="0056059F" w:rsidP="0056059F">
            <w:pPr>
              <w:rPr>
                <w:rFonts w:ascii="Arial" w:hAnsi="Arial" w:cs="Arial"/>
                <w:b/>
                <w:color w:val="000000"/>
                <w:sz w:val="18"/>
                <w:szCs w:val="20"/>
              </w:rPr>
            </w:pP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1</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2</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0</w:t>
            </w:r>
          </w:p>
        </w:tc>
      </w:tr>
      <w:tr w:rsidR="0056059F" w:rsidRPr="00525BBC" w:rsidTr="00525BBC">
        <w:trPr>
          <w:trHeight w:val="284"/>
        </w:trPr>
        <w:tc>
          <w:tcPr>
            <w:tcW w:w="2157" w:type="dxa"/>
          </w:tcPr>
          <w:p w:rsidR="0056059F" w:rsidRPr="00525BBC" w:rsidRDefault="0056059F" w:rsidP="0056059F">
            <w:pPr>
              <w:rPr>
                <w:b/>
                <w:sz w:val="18"/>
                <w:szCs w:val="20"/>
              </w:rPr>
            </w:pPr>
            <w:r w:rsidRPr="00525BBC">
              <w:rPr>
                <w:b/>
                <w:sz w:val="18"/>
                <w:szCs w:val="20"/>
              </w:rPr>
              <w:t xml:space="preserve">Développement d'outils de </w:t>
            </w:r>
            <w:proofErr w:type="spellStart"/>
            <w:r w:rsidRPr="00525BBC">
              <w:rPr>
                <w:b/>
                <w:sz w:val="18"/>
                <w:szCs w:val="20"/>
              </w:rPr>
              <w:t>littératie</w:t>
            </w:r>
            <w:proofErr w:type="spellEnd"/>
            <w:r w:rsidRPr="00525BBC">
              <w:rPr>
                <w:b/>
                <w:sz w:val="18"/>
                <w:szCs w:val="20"/>
              </w:rPr>
              <w:t xml:space="preserve"> financière par l'AQRAFE</w:t>
            </w: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2</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3</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2</w:t>
            </w:r>
          </w:p>
        </w:tc>
      </w:tr>
      <w:tr w:rsidR="0056059F" w:rsidRPr="00525BBC" w:rsidTr="00525BBC">
        <w:trPr>
          <w:trHeight w:val="284"/>
        </w:trPr>
        <w:tc>
          <w:tcPr>
            <w:tcW w:w="2157" w:type="dxa"/>
          </w:tcPr>
          <w:p w:rsidR="0056059F" w:rsidRPr="00525BBC" w:rsidRDefault="0056059F" w:rsidP="0056059F">
            <w:pPr>
              <w:rPr>
                <w:b/>
                <w:sz w:val="18"/>
                <w:szCs w:val="20"/>
              </w:rPr>
            </w:pPr>
            <w:r w:rsidRPr="00525BBC">
              <w:rPr>
                <w:b/>
                <w:sz w:val="18"/>
                <w:szCs w:val="20"/>
              </w:rPr>
              <w:t>Information continue en matière de financement des études</w:t>
            </w:r>
          </w:p>
        </w:tc>
        <w:tc>
          <w:tcPr>
            <w:tcW w:w="2157"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0</w:t>
            </w:r>
          </w:p>
        </w:tc>
        <w:tc>
          <w:tcPr>
            <w:tcW w:w="2158" w:type="dxa"/>
            <w:vAlign w:val="center"/>
          </w:tcPr>
          <w:p w:rsidR="0056059F" w:rsidRPr="00525BBC" w:rsidRDefault="004122E8" w:rsidP="004122E8">
            <w:pPr>
              <w:jc w:val="center"/>
              <w:rPr>
                <w:rFonts w:ascii="Arial" w:hAnsi="Arial" w:cs="Arial"/>
                <w:color w:val="000000"/>
                <w:sz w:val="16"/>
                <w:szCs w:val="20"/>
              </w:rPr>
            </w:pPr>
            <w:r w:rsidRPr="00525BBC">
              <w:rPr>
                <w:rFonts w:ascii="Arial" w:hAnsi="Arial" w:cs="Arial"/>
                <w:color w:val="000000"/>
                <w:sz w:val="16"/>
                <w:szCs w:val="20"/>
              </w:rPr>
              <w:t>2</w:t>
            </w:r>
          </w:p>
        </w:tc>
        <w:tc>
          <w:tcPr>
            <w:tcW w:w="2158" w:type="dxa"/>
            <w:vAlign w:val="center"/>
          </w:tcPr>
          <w:p w:rsidR="0056059F" w:rsidRPr="00525BBC" w:rsidRDefault="00F71E49" w:rsidP="00F71E49">
            <w:pPr>
              <w:jc w:val="center"/>
              <w:rPr>
                <w:rFonts w:ascii="Arial" w:hAnsi="Arial" w:cs="Arial"/>
                <w:color w:val="000000"/>
                <w:sz w:val="16"/>
                <w:szCs w:val="20"/>
              </w:rPr>
            </w:pPr>
            <w:r w:rsidRPr="00525BBC">
              <w:rPr>
                <w:rFonts w:ascii="Arial" w:hAnsi="Arial" w:cs="Arial"/>
                <w:color w:val="000000"/>
                <w:sz w:val="16"/>
                <w:szCs w:val="20"/>
              </w:rPr>
              <w:t>7</w:t>
            </w:r>
          </w:p>
        </w:tc>
      </w:tr>
    </w:tbl>
    <w:p w:rsidR="0056059F" w:rsidRDefault="0056059F" w:rsidP="0056059F">
      <w:pPr>
        <w:rPr>
          <w:rFonts w:ascii="Arial" w:hAnsi="Arial" w:cs="Arial"/>
          <w:b/>
          <w:color w:val="000000"/>
          <w:sz w:val="20"/>
          <w:szCs w:val="20"/>
        </w:rPr>
      </w:pPr>
    </w:p>
    <w:p w:rsidR="0056059F" w:rsidRDefault="0056059F" w:rsidP="0056059F">
      <w:pPr>
        <w:rPr>
          <w:rFonts w:ascii="Arial" w:hAnsi="Arial" w:cs="Arial"/>
          <w:b/>
          <w:color w:val="000000"/>
          <w:sz w:val="20"/>
          <w:szCs w:val="20"/>
        </w:rPr>
      </w:pPr>
    </w:p>
    <w:p w:rsidR="0056059F" w:rsidRPr="00525BBC" w:rsidRDefault="00525BBC" w:rsidP="00525BBC">
      <w:pPr>
        <w:rPr>
          <w:rFonts w:cs="Arial"/>
          <w:b/>
          <w:color w:val="000000"/>
        </w:rPr>
      </w:pPr>
      <w:r w:rsidRPr="00525BBC">
        <w:rPr>
          <w:rFonts w:cs="Arial"/>
          <w:b/>
          <w:color w:val="000000"/>
        </w:rPr>
        <w:lastRenderedPageBreak/>
        <w:t>Réponses à la question : « </w:t>
      </w:r>
      <w:r w:rsidR="00AC4682" w:rsidRPr="00525BBC">
        <w:rPr>
          <w:rFonts w:cs="Arial"/>
          <w:b/>
          <w:color w:val="000000"/>
        </w:rPr>
        <w:t>Quels autres sujets ou activités spécifiques aimeriez-vous voir inclus dans le plan d'action stratégique de l'AQRAFE ?</w:t>
      </w:r>
      <w:r w:rsidRPr="00525BBC">
        <w:rPr>
          <w:rFonts w:cs="Arial"/>
          <w:b/>
          <w:color w:val="000000"/>
        </w:rPr>
        <w:t> »</w:t>
      </w:r>
    </w:p>
    <w:p w:rsidR="00AC4682" w:rsidRPr="00525BBC" w:rsidRDefault="00AC4682" w:rsidP="00AC4682">
      <w:pPr>
        <w:jc w:val="center"/>
        <w:rPr>
          <w:rFonts w:cs="Arial"/>
          <w:b/>
          <w:color w:val="000000"/>
        </w:rPr>
      </w:pP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Portrait socio-économique de nos clientèles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 xml:space="preserve">Intérêts des étudiants au </w:t>
      </w:r>
      <w:r w:rsidR="00525BBC" w:rsidRPr="00525BBC">
        <w:rPr>
          <w:rFonts w:cs="Arial"/>
          <w:color w:val="000000"/>
          <w:sz w:val="20"/>
        </w:rPr>
        <w:t>cœur</w:t>
      </w:r>
      <w:r w:rsidRPr="00525BBC">
        <w:rPr>
          <w:rFonts w:cs="Arial"/>
          <w:color w:val="000000"/>
          <w:sz w:val="20"/>
        </w:rPr>
        <w:t xml:space="preserve"> des activités</w:t>
      </w:r>
    </w:p>
    <w:p w:rsidR="00AC4682" w:rsidRPr="00525BBC" w:rsidRDefault="00525BBC" w:rsidP="00525BBC">
      <w:pPr>
        <w:pStyle w:val="Paragraphedeliste"/>
        <w:numPr>
          <w:ilvl w:val="0"/>
          <w:numId w:val="6"/>
        </w:numPr>
        <w:ind w:left="426"/>
        <w:rPr>
          <w:rFonts w:cs="Arial"/>
          <w:color w:val="000000"/>
          <w:sz w:val="20"/>
        </w:rPr>
      </w:pPr>
      <w:r w:rsidRPr="00525BBC">
        <w:rPr>
          <w:rFonts w:cs="Arial"/>
          <w:color w:val="000000"/>
          <w:sz w:val="20"/>
        </w:rPr>
        <w:t>Développent</w:t>
      </w:r>
      <w:r w:rsidR="00AC4682" w:rsidRPr="00525BBC">
        <w:rPr>
          <w:rFonts w:cs="Arial"/>
          <w:color w:val="000000"/>
          <w:sz w:val="20"/>
        </w:rPr>
        <w:t xml:space="preserve"> de notre vision, du </w:t>
      </w:r>
      <w:r w:rsidRPr="00525BBC">
        <w:rPr>
          <w:rFonts w:cs="Arial"/>
          <w:color w:val="000000"/>
          <w:sz w:val="20"/>
        </w:rPr>
        <w:t>contexte</w:t>
      </w:r>
      <w:r w:rsidR="00AC4682" w:rsidRPr="00525BBC">
        <w:rPr>
          <w:rFonts w:cs="Arial"/>
          <w:color w:val="000000"/>
          <w:sz w:val="20"/>
        </w:rPr>
        <w:t xml:space="preserve"> actuel.</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 xml:space="preserve">Plan de communication et utilisation de nos </w:t>
      </w:r>
      <w:r w:rsidR="00525BBC" w:rsidRPr="00525BBC">
        <w:rPr>
          <w:rFonts w:cs="Arial"/>
          <w:color w:val="000000"/>
          <w:sz w:val="20"/>
        </w:rPr>
        <w:t>ressources</w:t>
      </w:r>
      <w:r w:rsidR="00525BBC">
        <w:rPr>
          <w:rFonts w:cs="Arial"/>
          <w:color w:val="000000"/>
          <w:sz w:val="20"/>
        </w:rPr>
        <w:t xml:space="preserve"> collectives, incluant le</w:t>
      </w:r>
      <w:r w:rsidRPr="00525BBC">
        <w:rPr>
          <w:rFonts w:cs="Arial"/>
          <w:color w:val="000000"/>
          <w:sz w:val="20"/>
        </w:rPr>
        <w:t xml:space="preserve"> site web.</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Les objectifs de résultats.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Des ateliers sur le développement professionnel (la gestion du rou</w:t>
      </w:r>
      <w:r w:rsidR="00525BBC">
        <w:rPr>
          <w:rFonts w:cs="Arial"/>
          <w:color w:val="000000"/>
          <w:sz w:val="20"/>
        </w:rPr>
        <w:t xml:space="preserve">lement de personnel spécialisé, </w:t>
      </w:r>
      <w:r w:rsidRPr="00525BBC">
        <w:rPr>
          <w:rFonts w:cs="Arial"/>
          <w:color w:val="000000"/>
          <w:sz w:val="20"/>
        </w:rPr>
        <w:t xml:space="preserve">l'intervention auprès des clientèles émergentes, etc.). Développement d'outils de </w:t>
      </w:r>
      <w:proofErr w:type="spellStart"/>
      <w:r w:rsidRPr="00525BBC">
        <w:rPr>
          <w:rFonts w:cs="Arial"/>
          <w:color w:val="000000"/>
          <w:sz w:val="20"/>
        </w:rPr>
        <w:t>littératie</w:t>
      </w:r>
      <w:proofErr w:type="spellEnd"/>
      <w:r w:rsidRPr="00525BBC">
        <w:rPr>
          <w:rFonts w:cs="Arial"/>
          <w:color w:val="000000"/>
          <w:sz w:val="20"/>
        </w:rPr>
        <w:t xml:space="preserve"> financière qui convient à une clientèle universitaire (plus mature), partage de ressources communautaires et de connaissances spécialisés en matière financière.</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Valorisation des postes liés aux tâches en Prêts et bourses.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Organisation d'ateliers de formation des membres.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Augmenter l'accessibilité des rencontres ou formations pour les membres à l'extérieur de Montréal (Vidéoconférence?)</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Tous les autres mentionnés dans les choix proposés.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 xml:space="preserve">Positionnement des membres suite au retrait du profil 3 </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 xml:space="preserve">Définition du rôle et des responsabilités d'un bureau d'aide financière </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Clarification règlementation - critère d'autonomie 90 unités</w:t>
      </w:r>
    </w:p>
    <w:p w:rsidR="00AC4682" w:rsidRPr="00525BBC" w:rsidRDefault="00AC4682" w:rsidP="00525BBC">
      <w:pPr>
        <w:pStyle w:val="Paragraphedeliste"/>
        <w:numPr>
          <w:ilvl w:val="0"/>
          <w:numId w:val="6"/>
        </w:numPr>
        <w:ind w:left="426"/>
        <w:rPr>
          <w:rFonts w:cs="Arial"/>
          <w:color w:val="000000"/>
          <w:sz w:val="20"/>
        </w:rPr>
      </w:pPr>
      <w:r w:rsidRPr="00525BBC">
        <w:rPr>
          <w:rFonts w:cs="Arial"/>
          <w:color w:val="000000"/>
          <w:sz w:val="20"/>
        </w:rPr>
        <w:t>Promouvoir l'aide financière comme facteur de réussite scolaire</w:t>
      </w:r>
    </w:p>
    <w:p w:rsidR="00AC4682" w:rsidRPr="00AC4682" w:rsidRDefault="00AC4682" w:rsidP="00AC4682">
      <w:pPr>
        <w:jc w:val="center"/>
        <w:rPr>
          <w:rFonts w:ascii="Arial" w:hAnsi="Arial" w:cs="Arial"/>
          <w:b/>
          <w:color w:val="000000"/>
          <w:sz w:val="20"/>
          <w:szCs w:val="20"/>
        </w:rPr>
      </w:pPr>
    </w:p>
    <w:p w:rsidR="00AC4682" w:rsidRPr="00AC4682" w:rsidRDefault="00AC4682" w:rsidP="00AC4682">
      <w:pPr>
        <w:jc w:val="center"/>
        <w:rPr>
          <w:rFonts w:ascii="Arial" w:hAnsi="Arial" w:cs="Arial"/>
          <w:b/>
          <w:color w:val="000000"/>
          <w:sz w:val="20"/>
          <w:szCs w:val="20"/>
        </w:rPr>
      </w:pPr>
    </w:p>
    <w:p w:rsidR="00AC4682" w:rsidRPr="00AC4682" w:rsidRDefault="00AC4682" w:rsidP="00AC4682">
      <w:pPr>
        <w:jc w:val="center"/>
        <w:rPr>
          <w:rFonts w:ascii="Arial" w:hAnsi="Arial" w:cs="Arial"/>
          <w:b/>
          <w:color w:val="000000"/>
          <w:sz w:val="20"/>
          <w:szCs w:val="20"/>
        </w:rPr>
      </w:pPr>
    </w:p>
    <w:sectPr w:rsidR="00AC4682" w:rsidRPr="00AC4682" w:rsidSect="00525B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3B4"/>
    <w:multiLevelType w:val="hybridMultilevel"/>
    <w:tmpl w:val="9E720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8770F7"/>
    <w:multiLevelType w:val="hybridMultilevel"/>
    <w:tmpl w:val="FD0A0A0C"/>
    <w:lvl w:ilvl="0" w:tplc="FA5C4868">
      <w:start w:val="1"/>
      <w:numFmt w:val="bullet"/>
      <w:lvlText w:val="–"/>
      <w:lvlJc w:val="left"/>
      <w:pPr>
        <w:ind w:left="720" w:hanging="360"/>
      </w:pPr>
      <w:rPr>
        <w:rFonts w:ascii="Franklin Gothic Book" w:hAnsi="Franklin Gothic Boo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CB1546B"/>
    <w:multiLevelType w:val="hybridMultilevel"/>
    <w:tmpl w:val="BD54BA78"/>
    <w:lvl w:ilvl="0" w:tplc="FA5C4868">
      <w:start w:val="1"/>
      <w:numFmt w:val="bullet"/>
      <w:lvlText w:val="–"/>
      <w:lvlJc w:val="left"/>
      <w:pPr>
        <w:ind w:left="720" w:hanging="360"/>
      </w:pPr>
      <w:rPr>
        <w:rFonts w:ascii="Franklin Gothic Book" w:hAnsi="Franklin Gothic Boo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0F7493D"/>
    <w:multiLevelType w:val="hybridMultilevel"/>
    <w:tmpl w:val="BA5E43BE"/>
    <w:lvl w:ilvl="0" w:tplc="FA5C4868">
      <w:start w:val="1"/>
      <w:numFmt w:val="bullet"/>
      <w:lvlText w:val="–"/>
      <w:lvlJc w:val="left"/>
      <w:pPr>
        <w:ind w:left="720" w:hanging="360"/>
      </w:pPr>
      <w:rPr>
        <w:rFonts w:ascii="Franklin Gothic Book" w:hAnsi="Franklin Gothic Boo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42B3269"/>
    <w:multiLevelType w:val="hybridMultilevel"/>
    <w:tmpl w:val="37F40D6A"/>
    <w:lvl w:ilvl="0" w:tplc="FA5C4868">
      <w:start w:val="1"/>
      <w:numFmt w:val="bullet"/>
      <w:lvlText w:val="–"/>
      <w:lvlJc w:val="left"/>
      <w:pPr>
        <w:ind w:left="720" w:hanging="360"/>
      </w:pPr>
      <w:rPr>
        <w:rFonts w:ascii="Franklin Gothic Book" w:hAnsi="Franklin Gothic Boo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F769E8"/>
    <w:multiLevelType w:val="hybridMultilevel"/>
    <w:tmpl w:val="71346D84"/>
    <w:lvl w:ilvl="0" w:tplc="FA5C4868">
      <w:start w:val="1"/>
      <w:numFmt w:val="bullet"/>
      <w:lvlText w:val="–"/>
      <w:lvlJc w:val="left"/>
      <w:pPr>
        <w:ind w:left="720" w:hanging="360"/>
      </w:pPr>
      <w:rPr>
        <w:rFonts w:ascii="Franklin Gothic Book" w:hAnsi="Franklin Gothic Boo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6C"/>
    <w:rsid w:val="001F65F6"/>
    <w:rsid w:val="002301DF"/>
    <w:rsid w:val="004122E8"/>
    <w:rsid w:val="00475A1D"/>
    <w:rsid w:val="00492DF8"/>
    <w:rsid w:val="00525BBC"/>
    <w:rsid w:val="0056059F"/>
    <w:rsid w:val="00615779"/>
    <w:rsid w:val="007A673E"/>
    <w:rsid w:val="00913A6C"/>
    <w:rsid w:val="00AC4682"/>
    <w:rsid w:val="00BE5D5C"/>
    <w:rsid w:val="00D47D55"/>
    <w:rsid w:val="00F5070D"/>
    <w:rsid w:val="00F71E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1DF"/>
    <w:pPr>
      <w:ind w:left="720"/>
      <w:contextualSpacing/>
    </w:pPr>
  </w:style>
  <w:style w:type="character" w:customStyle="1" w:styleId="trix-quote">
    <w:name w:val="trix-quote"/>
    <w:basedOn w:val="Policepardfaut"/>
    <w:rsid w:val="007A673E"/>
  </w:style>
  <w:style w:type="table" w:styleId="Grilledutableau">
    <w:name w:val="Table Grid"/>
    <w:basedOn w:val="TableauNormal"/>
    <w:uiPriority w:val="39"/>
    <w:rsid w:val="0056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1DF"/>
    <w:pPr>
      <w:ind w:left="720"/>
      <w:contextualSpacing/>
    </w:pPr>
  </w:style>
  <w:style w:type="character" w:customStyle="1" w:styleId="trix-quote">
    <w:name w:val="trix-quote"/>
    <w:basedOn w:val="Policepardfaut"/>
    <w:rsid w:val="007A673E"/>
  </w:style>
  <w:style w:type="table" w:styleId="Grilledutableau">
    <w:name w:val="Table Grid"/>
    <w:basedOn w:val="TableauNormal"/>
    <w:uiPriority w:val="39"/>
    <w:rsid w:val="0056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876D-D695-4E54-9301-6C13B8BA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Noël</dc:creator>
  <cp:lastModifiedBy>martely</cp:lastModifiedBy>
  <cp:revision>2</cp:revision>
  <dcterms:created xsi:type="dcterms:W3CDTF">2015-04-29T12:07:00Z</dcterms:created>
  <dcterms:modified xsi:type="dcterms:W3CDTF">2015-04-29T12:07:00Z</dcterms:modified>
</cp:coreProperties>
</file>